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60" w:rsidRPr="00431A60" w:rsidRDefault="00431A60" w:rsidP="00431A60">
      <w:pPr>
        <w:rPr>
          <w:rStyle w:val="auto-style2"/>
          <w:b/>
          <w:sz w:val="28"/>
        </w:rPr>
      </w:pPr>
      <w:r>
        <w:rPr>
          <w:rStyle w:val="auto-style2"/>
          <w:b/>
          <w:sz w:val="28"/>
        </w:rPr>
        <w:t>Tune Shift M</w:t>
      </w:r>
      <w:r w:rsidRPr="00431A60">
        <w:rPr>
          <w:rStyle w:val="auto-style2"/>
          <w:b/>
          <w:sz w:val="28"/>
        </w:rPr>
        <w:t>easurement</w:t>
      </w:r>
      <w:r>
        <w:rPr>
          <w:rStyle w:val="auto-style2"/>
          <w:b/>
          <w:sz w:val="28"/>
        </w:rPr>
        <w:t>s</w:t>
      </w:r>
      <w:r w:rsidRPr="00431A60">
        <w:rPr>
          <w:rStyle w:val="auto-style2"/>
          <w:b/>
          <w:sz w:val="28"/>
        </w:rPr>
        <w:t xml:space="preserve"> at </w:t>
      </w:r>
      <w:r w:rsidR="00033684">
        <w:rPr>
          <w:rStyle w:val="auto-style2"/>
          <w:b/>
          <w:sz w:val="28"/>
        </w:rPr>
        <w:t xml:space="preserve">1.4 </w:t>
      </w:r>
      <w:proofErr w:type="spellStart"/>
      <w:r w:rsidR="00033684">
        <w:rPr>
          <w:rStyle w:val="auto-style2"/>
          <w:b/>
          <w:sz w:val="28"/>
        </w:rPr>
        <w:t>G</w:t>
      </w:r>
      <w:r w:rsidRPr="00431A60">
        <w:rPr>
          <w:rStyle w:val="auto-style2"/>
          <w:b/>
          <w:sz w:val="28"/>
        </w:rPr>
        <w:t>eV</w:t>
      </w:r>
      <w:proofErr w:type="spellEnd"/>
    </w:p>
    <w:p w:rsidR="00810A4A" w:rsidRPr="00431A60" w:rsidRDefault="007E76B8" w:rsidP="00431A60">
      <w:pPr>
        <w:rPr>
          <w:sz w:val="20"/>
        </w:rPr>
      </w:pPr>
      <w:r>
        <w:rPr>
          <w:sz w:val="20"/>
        </w:rPr>
        <w:t>MD Report - Week 49</w:t>
      </w:r>
    </w:p>
    <w:p w:rsidR="00431A60" w:rsidRDefault="008F0202" w:rsidP="00431A60">
      <w:pPr>
        <w:rPr>
          <w:rStyle w:val="auto-style2"/>
          <w:sz w:val="20"/>
        </w:rPr>
      </w:pPr>
      <w:r>
        <w:rPr>
          <w:rStyle w:val="auto-style2"/>
          <w:sz w:val="20"/>
        </w:rPr>
        <w:t>B Jones</w:t>
      </w:r>
      <w:r w:rsidR="00810A4A">
        <w:rPr>
          <w:rStyle w:val="auto-style2"/>
          <w:sz w:val="20"/>
        </w:rPr>
        <w:t xml:space="preserve">, </w:t>
      </w:r>
      <w:r w:rsidR="007E76B8">
        <w:rPr>
          <w:rStyle w:val="auto-style2"/>
          <w:sz w:val="20"/>
        </w:rPr>
        <w:t xml:space="preserve">K Li, </w:t>
      </w:r>
      <w:r w:rsidR="00431A60" w:rsidRPr="00431A60">
        <w:rPr>
          <w:rStyle w:val="auto-style2"/>
          <w:sz w:val="20"/>
        </w:rPr>
        <w:t>C Zannini</w:t>
      </w:r>
    </w:p>
    <w:p w:rsidR="00F736B1" w:rsidRPr="001C6C9F" w:rsidRDefault="00F736B1" w:rsidP="00431A60">
      <w:pPr>
        <w:rPr>
          <w:rStyle w:val="auto-style2"/>
          <w:sz w:val="12"/>
        </w:rPr>
      </w:pPr>
    </w:p>
    <w:p w:rsidR="008F0202" w:rsidRPr="00F736B1" w:rsidRDefault="007E76B8" w:rsidP="00431A60">
      <w:pPr>
        <w:rPr>
          <w:b/>
          <w:sz w:val="20"/>
        </w:rPr>
      </w:pPr>
      <w:r>
        <w:rPr>
          <w:rStyle w:val="auto-style2"/>
          <w:b/>
          <w:sz w:val="20"/>
        </w:rPr>
        <w:t>Mon</w:t>
      </w:r>
      <w:r w:rsidR="00743294" w:rsidRPr="00F736B1">
        <w:rPr>
          <w:rStyle w:val="auto-style2"/>
          <w:b/>
          <w:sz w:val="20"/>
        </w:rPr>
        <w:t xml:space="preserve">day </w:t>
      </w:r>
      <w:r>
        <w:rPr>
          <w:rStyle w:val="auto-style2"/>
          <w:b/>
          <w:sz w:val="20"/>
        </w:rPr>
        <w:t>1</w:t>
      </w:r>
      <w:r>
        <w:rPr>
          <w:rStyle w:val="auto-style2"/>
          <w:b/>
          <w:sz w:val="20"/>
          <w:vertAlign w:val="superscript"/>
        </w:rPr>
        <w:t>st</w:t>
      </w:r>
      <w:r w:rsidR="00743294" w:rsidRPr="00F736B1">
        <w:rPr>
          <w:rStyle w:val="auto-style2"/>
          <w:b/>
          <w:sz w:val="20"/>
        </w:rPr>
        <w:t xml:space="preserve"> </w:t>
      </w:r>
      <w:r>
        <w:rPr>
          <w:rStyle w:val="auto-style2"/>
          <w:b/>
          <w:sz w:val="20"/>
        </w:rPr>
        <w:t>Dec</w:t>
      </w:r>
      <w:r w:rsidR="00743294" w:rsidRPr="00F736B1">
        <w:rPr>
          <w:rStyle w:val="auto-style2"/>
          <w:b/>
          <w:sz w:val="20"/>
        </w:rPr>
        <w:t>ember</w:t>
      </w:r>
    </w:p>
    <w:p w:rsidR="00BF29CA" w:rsidRDefault="00EB7452" w:rsidP="008F0202">
      <w:pPr>
        <w:jc w:val="both"/>
        <w:rPr>
          <w:sz w:val="20"/>
        </w:rPr>
      </w:pPr>
      <w:r>
        <w:rPr>
          <w:sz w:val="20"/>
        </w:rPr>
        <w:t>Data was taken for rings</w:t>
      </w:r>
      <w:r w:rsidR="007E76B8">
        <w:rPr>
          <w:sz w:val="20"/>
        </w:rPr>
        <w:t xml:space="preserve"> 1 and 4</w:t>
      </w:r>
      <w:r w:rsidR="00033684">
        <w:rPr>
          <w:sz w:val="20"/>
        </w:rPr>
        <w:t xml:space="preserve"> </w:t>
      </w:r>
      <w:r w:rsidR="007E76B8">
        <w:rPr>
          <w:sz w:val="20"/>
        </w:rPr>
        <w:t xml:space="preserve">to complete the measurements </w:t>
      </w:r>
      <w:r w:rsidR="00033684">
        <w:rPr>
          <w:sz w:val="20"/>
        </w:rPr>
        <w:t xml:space="preserve">at 1.4 </w:t>
      </w:r>
      <w:proofErr w:type="spellStart"/>
      <w:r w:rsidR="00033684">
        <w:rPr>
          <w:sz w:val="20"/>
        </w:rPr>
        <w:t>GeV</w:t>
      </w:r>
      <w:proofErr w:type="spellEnd"/>
      <w:r w:rsidR="00033684">
        <w:rPr>
          <w:sz w:val="20"/>
        </w:rPr>
        <w:t xml:space="preserve">. </w:t>
      </w:r>
      <w:r w:rsidR="007E76B8">
        <w:rPr>
          <w:sz w:val="20"/>
        </w:rPr>
        <w:t>Again, o</w:t>
      </w:r>
      <w:r w:rsidR="008F0202">
        <w:rPr>
          <w:sz w:val="20"/>
        </w:rPr>
        <w:t>nly the vertical plane was measured as previous results had shown the horizontal tune</w:t>
      </w:r>
      <w:r w:rsidR="00F935BF">
        <w:rPr>
          <w:sz w:val="20"/>
        </w:rPr>
        <w:t xml:space="preserve"> </w:t>
      </w:r>
      <w:r w:rsidR="008F0202">
        <w:rPr>
          <w:sz w:val="20"/>
        </w:rPr>
        <w:t xml:space="preserve">shift is too small to measure at this energy. </w:t>
      </w:r>
      <w:r w:rsidR="00033684">
        <w:rPr>
          <w:sz w:val="20"/>
        </w:rPr>
        <w:t>The measurements were made from C765 to C</w:t>
      </w:r>
      <w:r w:rsidR="008F0202">
        <w:rPr>
          <w:sz w:val="20"/>
        </w:rPr>
        <w:t>7</w:t>
      </w:r>
      <w:r w:rsidR="007E76B8">
        <w:rPr>
          <w:sz w:val="20"/>
        </w:rPr>
        <w:t>7</w:t>
      </w:r>
      <w:r w:rsidR="008F0202">
        <w:rPr>
          <w:sz w:val="20"/>
        </w:rPr>
        <w:t>5</w:t>
      </w:r>
      <w:r w:rsidR="00033684">
        <w:rPr>
          <w:sz w:val="20"/>
        </w:rPr>
        <w:t xml:space="preserve"> on the 1.4 </w:t>
      </w:r>
      <w:proofErr w:type="spellStart"/>
      <w:r w:rsidR="00033684">
        <w:rPr>
          <w:sz w:val="20"/>
        </w:rPr>
        <w:t>GeV</w:t>
      </w:r>
      <w:proofErr w:type="spellEnd"/>
      <w:r w:rsidR="00033684">
        <w:rPr>
          <w:sz w:val="20"/>
        </w:rPr>
        <w:t xml:space="preserve"> extraction plateau</w:t>
      </w:r>
      <w:r w:rsidR="008F0202">
        <w:rPr>
          <w:sz w:val="20"/>
        </w:rPr>
        <w:t xml:space="preserve"> – avoiding the </w:t>
      </w:r>
      <w:r w:rsidR="007E76B8">
        <w:rPr>
          <w:sz w:val="20"/>
        </w:rPr>
        <w:t xml:space="preserve">horizontal </w:t>
      </w:r>
      <w:r w:rsidR="008F0202">
        <w:rPr>
          <w:sz w:val="20"/>
        </w:rPr>
        <w:t>extraction bump ramp</w:t>
      </w:r>
      <w:r w:rsidR="00033684">
        <w:rPr>
          <w:sz w:val="20"/>
        </w:rPr>
        <w:t>.</w:t>
      </w:r>
      <w:r w:rsidR="00810008">
        <w:rPr>
          <w:sz w:val="20"/>
        </w:rPr>
        <w:t xml:space="preserve">  The results are shown below.</w:t>
      </w:r>
    </w:p>
    <w:p w:rsidR="007E76B8" w:rsidRPr="00F935BF" w:rsidRDefault="007E76B8" w:rsidP="008F0202">
      <w:pPr>
        <w:jc w:val="both"/>
        <w:rPr>
          <w:sz w:val="20"/>
        </w:rPr>
      </w:pPr>
    </w:p>
    <w:p w:rsidR="001C6C9F" w:rsidRDefault="001D3D5A" w:rsidP="001C6C9F">
      <w:pPr>
        <w:jc w:val="cent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3DB99C10">
            <wp:extent cx="2842185" cy="1584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85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C9F">
        <w:rPr>
          <w:noProof/>
          <w:sz w:val="20"/>
          <w:lang w:eastAsia="en-GB"/>
        </w:rPr>
        <w:t xml:space="preserve"> </w:t>
      </w:r>
      <w:r w:rsidR="007E76B8">
        <w:rPr>
          <w:noProof/>
          <w:sz w:val="20"/>
          <w:lang w:eastAsia="en-GB"/>
        </w:rPr>
        <w:drawing>
          <wp:inline distT="0" distB="0" distL="0" distR="0" wp14:anchorId="31F8B517">
            <wp:extent cx="2842185" cy="158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85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C9F" w:rsidRPr="001C6C9F" w:rsidRDefault="001C6C9F" w:rsidP="001C6C9F">
      <w:pPr>
        <w:jc w:val="center"/>
        <w:rPr>
          <w:sz w:val="12"/>
        </w:rPr>
      </w:pPr>
    </w:p>
    <w:p w:rsidR="00D335AE" w:rsidRDefault="007E76B8" w:rsidP="008F0202">
      <w:pPr>
        <w:rPr>
          <w:sz w:val="20"/>
        </w:rPr>
      </w:pPr>
      <w:r>
        <w:rPr>
          <w:sz w:val="20"/>
        </w:rPr>
        <w:t xml:space="preserve">The </w:t>
      </w:r>
      <w:r w:rsidR="003C1925">
        <w:rPr>
          <w:sz w:val="20"/>
        </w:rPr>
        <w:t xml:space="preserve">low intensity measurements do not </w:t>
      </w:r>
      <w:r w:rsidR="001D3D5A">
        <w:rPr>
          <w:sz w:val="20"/>
        </w:rPr>
        <w:t>show</w:t>
      </w:r>
      <w:r w:rsidR="003C1925">
        <w:rPr>
          <w:sz w:val="20"/>
        </w:rPr>
        <w:t xml:space="preserve"> the expected linear response and have therefore been excluded from the linear fit</w:t>
      </w:r>
      <w:r w:rsidR="001D3D5A">
        <w:rPr>
          <w:sz w:val="20"/>
        </w:rPr>
        <w:t>s</w:t>
      </w:r>
      <w:r w:rsidR="003C1925">
        <w:rPr>
          <w:sz w:val="20"/>
        </w:rPr>
        <w:t xml:space="preserve"> shown on the plot</w:t>
      </w:r>
      <w:r w:rsidR="001D3D5A">
        <w:rPr>
          <w:sz w:val="20"/>
        </w:rPr>
        <w:t>s</w:t>
      </w:r>
      <w:r w:rsidR="00D335AE">
        <w:rPr>
          <w:sz w:val="20"/>
        </w:rPr>
        <w:t xml:space="preserve">. </w:t>
      </w:r>
    </w:p>
    <w:p w:rsidR="003C1925" w:rsidRDefault="003C1925" w:rsidP="003C1925">
      <w:pPr>
        <w:rPr>
          <w:sz w:val="20"/>
        </w:rPr>
      </w:pPr>
    </w:p>
    <w:p w:rsidR="003C1925" w:rsidRDefault="003C1925" w:rsidP="003C1925">
      <w:pPr>
        <w:rPr>
          <w:sz w:val="20"/>
        </w:rPr>
      </w:pPr>
      <w:r>
        <w:rPr>
          <w:sz w:val="20"/>
        </w:rPr>
        <w:t xml:space="preserve">A summary of the measured vertical tune shift values </w:t>
      </w:r>
      <w:r w:rsidR="00C779FE">
        <w:rPr>
          <w:sz w:val="20"/>
        </w:rPr>
        <w:t xml:space="preserve">at 1.4 </w:t>
      </w:r>
      <w:proofErr w:type="spellStart"/>
      <w:r w:rsidR="00C779FE">
        <w:rPr>
          <w:sz w:val="20"/>
        </w:rPr>
        <w:t>GeV</w:t>
      </w:r>
      <w:proofErr w:type="spellEnd"/>
      <w:r w:rsidR="00C779FE">
        <w:rPr>
          <w:sz w:val="20"/>
        </w:rPr>
        <w:t xml:space="preserve"> </w:t>
      </w:r>
      <w:r>
        <w:rPr>
          <w:sz w:val="20"/>
        </w:rPr>
        <w:t>is given below:</w:t>
      </w:r>
    </w:p>
    <w:p w:rsidR="003C1925" w:rsidRDefault="003C1925" w:rsidP="003C1925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2277"/>
        <w:gridCol w:w="803"/>
      </w:tblGrid>
      <w:tr w:rsidR="003C1925" w:rsidRPr="00EB7452" w:rsidTr="00917B36">
        <w:trPr>
          <w:trHeight w:val="250"/>
          <w:jc w:val="center"/>
        </w:trPr>
        <w:tc>
          <w:tcPr>
            <w:tcW w:w="954" w:type="dxa"/>
            <w:vAlign w:val="center"/>
          </w:tcPr>
          <w:p w:rsidR="003C1925" w:rsidRPr="00EB7452" w:rsidRDefault="003C1925" w:rsidP="00CE4E74">
            <w:pPr>
              <w:rPr>
                <w:sz w:val="20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3C1925" w:rsidRPr="00EB7452" w:rsidRDefault="003C1925" w:rsidP="00CE4E74">
            <w:pPr>
              <w:jc w:val="center"/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Vertical</w:t>
            </w:r>
          </w:p>
        </w:tc>
      </w:tr>
      <w:tr w:rsidR="003C1925" w:rsidRPr="00EB7452" w:rsidTr="00917B36">
        <w:trPr>
          <w:trHeight w:val="250"/>
          <w:jc w:val="center"/>
        </w:trPr>
        <w:tc>
          <w:tcPr>
            <w:tcW w:w="954" w:type="dxa"/>
            <w:vAlign w:val="center"/>
          </w:tcPr>
          <w:p w:rsidR="003C1925" w:rsidRPr="00EB7452" w:rsidRDefault="003C1925" w:rsidP="00CE4E74">
            <w:pPr>
              <w:rPr>
                <w:sz w:val="20"/>
              </w:rPr>
            </w:pPr>
          </w:p>
        </w:tc>
        <w:tc>
          <w:tcPr>
            <w:tcW w:w="2277" w:type="dxa"/>
            <w:vAlign w:val="center"/>
          </w:tcPr>
          <w:p w:rsidR="003C1925" w:rsidRPr="00EB7452" w:rsidRDefault="003C1925" w:rsidP="00917B36">
            <w:pPr>
              <w:jc w:val="center"/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ΔQ (x10</w:t>
            </w:r>
            <w:r w:rsidRPr="0011326F">
              <w:rPr>
                <w:b/>
                <w:sz w:val="20"/>
                <w:vertAlign w:val="superscript"/>
              </w:rPr>
              <w:t>-</w:t>
            </w:r>
            <w:r>
              <w:rPr>
                <w:b/>
                <w:sz w:val="20"/>
                <w:vertAlign w:val="superscript"/>
              </w:rPr>
              <w:t>6</w:t>
            </w:r>
            <w:r w:rsidR="00917B36">
              <w:rPr>
                <w:b/>
                <w:sz w:val="20"/>
              </w:rPr>
              <w:t xml:space="preserve"> per 1E10 ppb)</w:t>
            </w:r>
          </w:p>
        </w:tc>
        <w:tc>
          <w:tcPr>
            <w:tcW w:w="803" w:type="dxa"/>
            <w:vAlign w:val="center"/>
          </w:tcPr>
          <w:p w:rsidR="003C1925" w:rsidRPr="00EB7452" w:rsidRDefault="003C1925" w:rsidP="00917B36">
            <w:pPr>
              <w:jc w:val="center"/>
              <w:rPr>
                <w:b/>
                <w:sz w:val="20"/>
              </w:rPr>
            </w:pPr>
            <w:proofErr w:type="spellStart"/>
            <w:r w:rsidRPr="00EB7452">
              <w:rPr>
                <w:b/>
                <w:sz w:val="20"/>
              </w:rPr>
              <w:t>Qo</w:t>
            </w:r>
            <w:proofErr w:type="spellEnd"/>
          </w:p>
        </w:tc>
        <w:bookmarkStart w:id="0" w:name="_GoBack"/>
        <w:bookmarkEnd w:id="0"/>
      </w:tr>
      <w:tr w:rsidR="003C1925" w:rsidRPr="00EB7452" w:rsidTr="00917B36">
        <w:trPr>
          <w:trHeight w:val="233"/>
          <w:jc w:val="center"/>
        </w:trPr>
        <w:tc>
          <w:tcPr>
            <w:tcW w:w="954" w:type="dxa"/>
            <w:vAlign w:val="center"/>
          </w:tcPr>
          <w:p w:rsidR="003C1925" w:rsidRPr="00EB7452" w:rsidRDefault="003C1925" w:rsidP="00CE4E74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1</w:t>
            </w:r>
          </w:p>
        </w:tc>
        <w:tc>
          <w:tcPr>
            <w:tcW w:w="2277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-7.20</w:t>
            </w:r>
          </w:p>
        </w:tc>
        <w:tc>
          <w:tcPr>
            <w:tcW w:w="803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 w:rsidRPr="00EB7452">
              <w:rPr>
                <w:sz w:val="20"/>
              </w:rPr>
              <w:t>0.2</w:t>
            </w:r>
            <w:r>
              <w:rPr>
                <w:sz w:val="20"/>
              </w:rPr>
              <w:t>17</w:t>
            </w:r>
          </w:p>
        </w:tc>
      </w:tr>
      <w:tr w:rsidR="003C1925" w:rsidRPr="00EB7452" w:rsidTr="00917B36">
        <w:trPr>
          <w:trHeight w:val="250"/>
          <w:jc w:val="center"/>
        </w:trPr>
        <w:tc>
          <w:tcPr>
            <w:tcW w:w="954" w:type="dxa"/>
            <w:vAlign w:val="center"/>
          </w:tcPr>
          <w:p w:rsidR="003C1925" w:rsidRPr="00EB7452" w:rsidRDefault="003C1925" w:rsidP="00CE4E74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2</w:t>
            </w:r>
          </w:p>
        </w:tc>
        <w:tc>
          <w:tcPr>
            <w:tcW w:w="2277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-6.</w:t>
            </w:r>
            <w:r w:rsidRPr="00EB7452">
              <w:rPr>
                <w:sz w:val="20"/>
              </w:rPr>
              <w:t>8</w:t>
            </w:r>
            <w:r>
              <w:rPr>
                <w:sz w:val="20"/>
              </w:rPr>
              <w:t>6</w:t>
            </w:r>
          </w:p>
        </w:tc>
        <w:tc>
          <w:tcPr>
            <w:tcW w:w="803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 w:rsidRPr="00EB7452">
              <w:rPr>
                <w:sz w:val="20"/>
              </w:rPr>
              <w:t>0.2</w:t>
            </w:r>
            <w:r>
              <w:rPr>
                <w:sz w:val="20"/>
              </w:rPr>
              <w:t>16</w:t>
            </w:r>
          </w:p>
        </w:tc>
      </w:tr>
      <w:tr w:rsidR="003C1925" w:rsidRPr="00EB7452" w:rsidTr="00917B36">
        <w:trPr>
          <w:trHeight w:val="250"/>
          <w:jc w:val="center"/>
        </w:trPr>
        <w:tc>
          <w:tcPr>
            <w:tcW w:w="954" w:type="dxa"/>
            <w:vAlign w:val="center"/>
          </w:tcPr>
          <w:p w:rsidR="003C1925" w:rsidRPr="00EB7452" w:rsidRDefault="003C1925" w:rsidP="00CE4E74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3</w:t>
            </w:r>
          </w:p>
        </w:tc>
        <w:tc>
          <w:tcPr>
            <w:tcW w:w="2277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-7.51</w:t>
            </w:r>
          </w:p>
        </w:tc>
        <w:tc>
          <w:tcPr>
            <w:tcW w:w="803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 w:rsidRPr="00EB7452">
              <w:rPr>
                <w:sz w:val="20"/>
              </w:rPr>
              <w:t>0.2</w:t>
            </w:r>
            <w:r>
              <w:rPr>
                <w:sz w:val="20"/>
              </w:rPr>
              <w:t>12</w:t>
            </w:r>
          </w:p>
        </w:tc>
      </w:tr>
      <w:tr w:rsidR="003C1925" w:rsidTr="00917B36">
        <w:trPr>
          <w:trHeight w:val="233"/>
          <w:jc w:val="center"/>
        </w:trPr>
        <w:tc>
          <w:tcPr>
            <w:tcW w:w="954" w:type="dxa"/>
            <w:vAlign w:val="center"/>
          </w:tcPr>
          <w:p w:rsidR="003C1925" w:rsidRPr="00EB7452" w:rsidRDefault="003C1925" w:rsidP="00CE4E74">
            <w:pPr>
              <w:rPr>
                <w:b/>
                <w:sz w:val="20"/>
              </w:rPr>
            </w:pPr>
            <w:r w:rsidRPr="00EB7452">
              <w:rPr>
                <w:b/>
                <w:sz w:val="20"/>
              </w:rPr>
              <w:t>Ring 4</w:t>
            </w:r>
          </w:p>
        </w:tc>
        <w:tc>
          <w:tcPr>
            <w:tcW w:w="2277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-7.25</w:t>
            </w:r>
          </w:p>
        </w:tc>
        <w:tc>
          <w:tcPr>
            <w:tcW w:w="803" w:type="dxa"/>
            <w:vAlign w:val="center"/>
          </w:tcPr>
          <w:p w:rsidR="003C1925" w:rsidRPr="00EB7452" w:rsidRDefault="003C1925" w:rsidP="00917B36">
            <w:pPr>
              <w:jc w:val="center"/>
              <w:rPr>
                <w:sz w:val="20"/>
              </w:rPr>
            </w:pPr>
            <w:r w:rsidRPr="00EB7452">
              <w:rPr>
                <w:sz w:val="20"/>
              </w:rPr>
              <w:t>0.2</w:t>
            </w:r>
            <w:r>
              <w:rPr>
                <w:sz w:val="20"/>
              </w:rPr>
              <w:t>12</w:t>
            </w:r>
          </w:p>
        </w:tc>
      </w:tr>
    </w:tbl>
    <w:p w:rsidR="003C1925" w:rsidRPr="003C1925" w:rsidRDefault="003C1925" w:rsidP="003C1925">
      <w:pPr>
        <w:rPr>
          <w:sz w:val="20"/>
          <w:szCs w:val="20"/>
        </w:rPr>
      </w:pPr>
    </w:p>
    <w:p w:rsidR="003C1925" w:rsidRPr="003C1925" w:rsidRDefault="003C1925" w:rsidP="003C1925">
      <w:pPr>
        <w:rPr>
          <w:sz w:val="20"/>
          <w:szCs w:val="20"/>
        </w:rPr>
      </w:pPr>
    </w:p>
    <w:p w:rsidR="003C1925" w:rsidRPr="003C1925" w:rsidRDefault="003C1925" w:rsidP="003C1925">
      <w:pPr>
        <w:rPr>
          <w:sz w:val="20"/>
          <w:szCs w:val="20"/>
        </w:rPr>
      </w:pPr>
    </w:p>
    <w:sectPr w:rsidR="003C1925" w:rsidRPr="003C1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43A"/>
    <w:multiLevelType w:val="hybridMultilevel"/>
    <w:tmpl w:val="FDCE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9"/>
    <w:rsid w:val="00033684"/>
    <w:rsid w:val="00037F4E"/>
    <w:rsid w:val="000620B9"/>
    <w:rsid w:val="00065544"/>
    <w:rsid w:val="000D6303"/>
    <w:rsid w:val="00131DD5"/>
    <w:rsid w:val="001C6C9F"/>
    <w:rsid w:val="001D3D5A"/>
    <w:rsid w:val="00290F05"/>
    <w:rsid w:val="002B4BF8"/>
    <w:rsid w:val="002F49A6"/>
    <w:rsid w:val="00362644"/>
    <w:rsid w:val="003C1925"/>
    <w:rsid w:val="003F10BE"/>
    <w:rsid w:val="004041B4"/>
    <w:rsid w:val="00431A60"/>
    <w:rsid w:val="00445A1D"/>
    <w:rsid w:val="0048010C"/>
    <w:rsid w:val="004A2B7C"/>
    <w:rsid w:val="004A2DF3"/>
    <w:rsid w:val="004D6512"/>
    <w:rsid w:val="005707E6"/>
    <w:rsid w:val="00683698"/>
    <w:rsid w:val="00704352"/>
    <w:rsid w:val="00743294"/>
    <w:rsid w:val="007B31BB"/>
    <w:rsid w:val="007C46E0"/>
    <w:rsid w:val="007E76B8"/>
    <w:rsid w:val="007F76DA"/>
    <w:rsid w:val="0080418C"/>
    <w:rsid w:val="00810008"/>
    <w:rsid w:val="00810A4A"/>
    <w:rsid w:val="00873F0F"/>
    <w:rsid w:val="008F0202"/>
    <w:rsid w:val="00917B36"/>
    <w:rsid w:val="0093030C"/>
    <w:rsid w:val="00935EB5"/>
    <w:rsid w:val="00955CA6"/>
    <w:rsid w:val="00973B30"/>
    <w:rsid w:val="00982E95"/>
    <w:rsid w:val="009914FB"/>
    <w:rsid w:val="00997243"/>
    <w:rsid w:val="009A0657"/>
    <w:rsid w:val="00A3239C"/>
    <w:rsid w:val="00AA03DA"/>
    <w:rsid w:val="00AA772D"/>
    <w:rsid w:val="00B049F1"/>
    <w:rsid w:val="00B82DFC"/>
    <w:rsid w:val="00BF29CA"/>
    <w:rsid w:val="00C34C07"/>
    <w:rsid w:val="00C779FE"/>
    <w:rsid w:val="00CA220D"/>
    <w:rsid w:val="00D335AE"/>
    <w:rsid w:val="00D55FFB"/>
    <w:rsid w:val="00D66107"/>
    <w:rsid w:val="00D83602"/>
    <w:rsid w:val="00E22430"/>
    <w:rsid w:val="00E35F50"/>
    <w:rsid w:val="00E467B5"/>
    <w:rsid w:val="00E8550D"/>
    <w:rsid w:val="00EB4B8D"/>
    <w:rsid w:val="00EB7452"/>
    <w:rsid w:val="00EC71EE"/>
    <w:rsid w:val="00ED0EAA"/>
    <w:rsid w:val="00F00BF9"/>
    <w:rsid w:val="00F715E5"/>
    <w:rsid w:val="00F71AB4"/>
    <w:rsid w:val="00F736B1"/>
    <w:rsid w:val="00F935BF"/>
    <w:rsid w:val="00FD1C1A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8847-7B5B-4E49-8219-F8FB98DA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Jones</dc:creator>
  <cp:lastModifiedBy>Bryan Jones</cp:lastModifiedBy>
  <cp:revision>4</cp:revision>
  <cp:lastPrinted>2014-11-18T15:27:00Z</cp:lastPrinted>
  <dcterms:created xsi:type="dcterms:W3CDTF">2014-12-02T10:16:00Z</dcterms:created>
  <dcterms:modified xsi:type="dcterms:W3CDTF">2014-12-03T11:30:00Z</dcterms:modified>
</cp:coreProperties>
</file>